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BC5" w:rsidRDefault="00C6006B">
      <w:pPr>
        <w:pStyle w:val="NormalWeb1"/>
        <w:spacing w:before="0" w:beforeAutospacing="0" w:after="0" w:afterAutospacing="0"/>
        <w:jc w:val="center"/>
        <w:rPr>
          <w:rFonts w:asciiTheme="minorHAnsi" w:hAnsiTheme="minorHAnsi" w:cstheme="minorHAnsi"/>
          <w:b/>
          <w:bCs/>
          <w:sz w:val="56"/>
          <w:szCs w:val="56"/>
        </w:rPr>
      </w:pPr>
      <w:r>
        <w:rPr>
          <w:b/>
          <w:noProof/>
          <w:sz w:val="28"/>
          <w:szCs w:val="28"/>
        </w:rPr>
        <mc:AlternateContent>
          <mc:Choice Requires="wpg">
            <w:drawing>
              <wp:inline distT="0" distB="0" distL="0" distR="0">
                <wp:extent cx="2092960" cy="934720"/>
                <wp:effectExtent l="0" t="0" r="0" b="0"/>
                <wp:docPr id="1" name="Image 1" descr="VDL-logo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24727" name="Picture 11" descr="VDL-logo_CMJN"/>
                        <pic:cNvPicPr>
                          <a:picLocks noChangeAspect="1"/>
                        </pic:cNvPicPr>
                      </pic:nvPicPr>
                      <pic:blipFill>
                        <a:blip r:embed="rId8"/>
                        <a:stretch/>
                      </pic:blipFill>
                      <pic:spPr bwMode="auto">
                        <a:xfrm>
                          <a:off x="0" y="0"/>
                          <a:ext cx="2092959" cy="934719"/>
                        </a:xfrm>
                        <a:prstGeom prst="rect">
                          <a:avLst/>
                        </a:prstGeom>
                        <a:noFill/>
                        <a:ln>
                          <a:noFill/>
                        </a:ln>
                      </pic:spPr>
                    </pic:pi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64.80pt;height:73.60pt;mso-wrap-distance-left:0.00pt;mso-wrap-distance-top:0.00pt;mso-wrap-distance-right:0.00pt;mso-wrap-distance-bottom:0.00pt;rotation:0;z-index:1;" stroked="f">
                <v:imagedata r:id="rId10" o:title=""/>
                <o:lock v:ext="edit" rotation="t"/>
              </v:shape>
            </w:pict>
          </mc:Fallback>
        </mc:AlternateContent>
      </w:r>
    </w:p>
    <w:p w:rsidR="001C3BC5" w:rsidRDefault="001C3BC5">
      <w:pPr>
        <w:pStyle w:val="NormalWeb1"/>
        <w:spacing w:before="0" w:beforeAutospacing="0" w:after="0" w:afterAutospacing="0"/>
        <w:jc w:val="center"/>
        <w:rPr>
          <w:rFonts w:asciiTheme="minorHAnsi" w:hAnsiTheme="minorHAnsi" w:cstheme="minorHAnsi"/>
          <w:b/>
          <w:bCs/>
          <w:sz w:val="56"/>
          <w:szCs w:val="56"/>
        </w:rPr>
      </w:pPr>
    </w:p>
    <w:p w:rsidR="001C3BC5" w:rsidRDefault="001C3BC5">
      <w:pPr>
        <w:pStyle w:val="NormalWeb1"/>
        <w:spacing w:before="0" w:beforeAutospacing="0" w:after="0" w:afterAutospacing="0"/>
        <w:jc w:val="center"/>
        <w:rPr>
          <w:rFonts w:asciiTheme="minorHAnsi" w:hAnsiTheme="minorHAnsi" w:cstheme="minorHAnsi"/>
          <w:b/>
          <w:bCs/>
          <w:sz w:val="56"/>
          <w:szCs w:val="56"/>
        </w:rPr>
      </w:pPr>
    </w:p>
    <w:p w:rsidR="00F71EDD" w:rsidRPr="000E1EC4" w:rsidRDefault="00F71EDD" w:rsidP="00F71EDD">
      <w:pPr>
        <w:pStyle w:val="NormalWeb"/>
        <w:spacing w:before="0" w:beforeAutospacing="0" w:after="0" w:afterAutospacing="0"/>
        <w:jc w:val="center"/>
        <w:rPr>
          <w:rFonts w:asciiTheme="minorHAnsi" w:hAnsiTheme="minorHAnsi" w:cstheme="minorHAnsi"/>
          <w:bCs/>
          <w:sz w:val="56"/>
          <w:szCs w:val="56"/>
        </w:rPr>
      </w:pPr>
      <w:r w:rsidRPr="000E1EC4">
        <w:rPr>
          <w:rFonts w:asciiTheme="minorHAnsi" w:hAnsiTheme="minorHAnsi" w:cstheme="minorHAnsi"/>
          <w:bCs/>
          <w:iCs/>
          <w:sz w:val="56"/>
          <w:szCs w:val="56"/>
        </w:rPr>
        <w:t>A</w:t>
      </w:r>
      <w:r w:rsidRPr="000E1EC4">
        <w:rPr>
          <w:rFonts w:asciiTheme="minorHAnsi" w:hAnsiTheme="minorHAnsi" w:cstheme="minorHAnsi"/>
          <w:bCs/>
          <w:sz w:val="56"/>
          <w:szCs w:val="56"/>
        </w:rPr>
        <w:t>PPEL A INITIATIVES ASSOCIATIVES</w:t>
      </w:r>
    </w:p>
    <w:p w:rsidR="00F71EDD" w:rsidRDefault="00F71EDD" w:rsidP="00F71EDD">
      <w:pPr>
        <w:pStyle w:val="NormalWeb"/>
        <w:spacing w:before="0" w:beforeAutospacing="0" w:after="0" w:afterAutospacing="0"/>
        <w:jc w:val="center"/>
        <w:rPr>
          <w:rFonts w:asciiTheme="minorHAnsi" w:hAnsiTheme="minorHAnsi" w:cstheme="minorHAnsi"/>
          <w:b/>
          <w:bCs/>
          <w:sz w:val="56"/>
          <w:szCs w:val="56"/>
        </w:rPr>
      </w:pPr>
    </w:p>
    <w:p w:rsidR="00F71EDD" w:rsidRPr="000E1EC4" w:rsidRDefault="00F71EDD" w:rsidP="00F71EDD">
      <w:pPr>
        <w:pStyle w:val="NormalWeb"/>
        <w:spacing w:before="0" w:beforeAutospacing="0" w:after="0" w:afterAutospacing="0"/>
        <w:jc w:val="center"/>
        <w:rPr>
          <w:rFonts w:asciiTheme="minorHAnsi" w:hAnsiTheme="minorHAnsi" w:cstheme="minorHAnsi"/>
          <w:b/>
          <w:bCs/>
          <w:sz w:val="56"/>
          <w:szCs w:val="56"/>
          <w:vertAlign w:val="superscript"/>
        </w:rPr>
      </w:pPr>
      <w:r w:rsidRPr="000E1EC4">
        <w:rPr>
          <w:rFonts w:asciiTheme="minorHAnsi" w:hAnsiTheme="minorHAnsi" w:cstheme="minorHAnsi"/>
          <w:b/>
          <w:bCs/>
          <w:sz w:val="56"/>
          <w:szCs w:val="56"/>
        </w:rPr>
        <w:t>POUR LA MISE EN ŒUVRE D’UN PROJET D’ÉDUCATION POPULAIRE DE 2026 A 2030</w:t>
      </w:r>
    </w:p>
    <w:p w:rsidR="00F71EDD" w:rsidRPr="00B97DD8" w:rsidRDefault="00F71EDD" w:rsidP="00F71EDD">
      <w:pPr>
        <w:pStyle w:val="NormalWeb"/>
        <w:spacing w:before="0" w:beforeAutospacing="0" w:after="0" w:afterAutospacing="0"/>
        <w:jc w:val="center"/>
        <w:rPr>
          <w:rFonts w:asciiTheme="minorHAnsi" w:hAnsiTheme="minorHAnsi" w:cstheme="minorHAnsi"/>
          <w:b/>
          <w:bCs/>
          <w:sz w:val="56"/>
          <w:szCs w:val="56"/>
          <w:vertAlign w:val="superscript"/>
        </w:rPr>
      </w:pPr>
      <w:r w:rsidRPr="000E1EC4">
        <w:rPr>
          <w:rFonts w:asciiTheme="minorHAnsi" w:hAnsiTheme="minorHAnsi" w:cstheme="minorHAnsi"/>
          <w:b/>
          <w:bCs/>
          <w:color w:val="0070C0"/>
          <w:sz w:val="56"/>
          <w:szCs w:val="56"/>
        </w:rPr>
        <w:t>PARTIE OUEST DU 5</w:t>
      </w:r>
      <w:r w:rsidRPr="000E1EC4">
        <w:rPr>
          <w:rFonts w:asciiTheme="minorHAnsi" w:hAnsiTheme="minorHAnsi" w:cstheme="minorHAnsi"/>
          <w:b/>
          <w:bCs/>
          <w:color w:val="0070C0"/>
          <w:sz w:val="56"/>
          <w:szCs w:val="56"/>
          <w:vertAlign w:val="superscript"/>
        </w:rPr>
        <w:t xml:space="preserve">E </w:t>
      </w:r>
      <w:r w:rsidRPr="000E1EC4">
        <w:rPr>
          <w:rFonts w:asciiTheme="minorHAnsi" w:hAnsiTheme="minorHAnsi" w:cstheme="minorHAnsi"/>
          <w:b/>
          <w:bCs/>
          <w:color w:val="0070C0"/>
          <w:sz w:val="56"/>
          <w:szCs w:val="56"/>
        </w:rPr>
        <w:t>ARRONDISSEMENT</w:t>
      </w:r>
    </w:p>
    <w:p w:rsidR="001C3BC5" w:rsidRDefault="001C3BC5">
      <w:pPr>
        <w:spacing w:after="0" w:line="240" w:lineRule="auto"/>
        <w:jc w:val="both"/>
      </w:pPr>
    </w:p>
    <w:p w:rsidR="001C3BC5" w:rsidRDefault="001C3BC5">
      <w:pPr>
        <w:spacing w:after="0" w:line="240" w:lineRule="auto"/>
        <w:jc w:val="both"/>
        <w:rPr>
          <w:color w:val="000000" w:themeColor="text1"/>
        </w:rPr>
      </w:pPr>
    </w:p>
    <w:p w:rsidR="001C3BC5" w:rsidRDefault="001C3BC5">
      <w:pPr>
        <w:spacing w:after="0" w:line="240" w:lineRule="auto"/>
        <w:jc w:val="both"/>
      </w:pPr>
    </w:p>
    <w:p w:rsidR="001C3BC5" w:rsidRDefault="001C3BC5">
      <w:pPr>
        <w:spacing w:after="0" w:line="240" w:lineRule="auto"/>
        <w:jc w:val="both"/>
      </w:pPr>
    </w:p>
    <w:p w:rsidR="001C3BC5" w:rsidRDefault="001C3BC5">
      <w:pPr>
        <w:spacing w:after="0" w:line="240" w:lineRule="auto"/>
        <w:jc w:val="both"/>
      </w:pPr>
    </w:p>
    <w:p w:rsidR="001C3BC5" w:rsidRDefault="001C3BC5">
      <w:pPr>
        <w:spacing w:after="0" w:line="240" w:lineRule="auto"/>
        <w:jc w:val="both"/>
      </w:pPr>
    </w:p>
    <w:p w:rsidR="001C3BC5" w:rsidRDefault="001C3BC5">
      <w:pPr>
        <w:spacing w:after="0" w:line="240" w:lineRule="auto"/>
        <w:jc w:val="both"/>
      </w:pPr>
    </w:p>
    <w:p w:rsidR="001C3BC5" w:rsidRDefault="001C3BC5">
      <w:pPr>
        <w:spacing w:after="0" w:line="240" w:lineRule="auto"/>
        <w:jc w:val="both"/>
      </w:pPr>
    </w:p>
    <w:p w:rsidR="001C3BC5" w:rsidRDefault="001C3BC5">
      <w:pPr>
        <w:spacing w:after="0" w:line="240" w:lineRule="auto"/>
        <w:jc w:val="both"/>
      </w:pPr>
    </w:p>
    <w:p w:rsidR="001C3BC5" w:rsidRDefault="001C3BC5">
      <w:pPr>
        <w:spacing w:after="0" w:line="240" w:lineRule="auto"/>
        <w:jc w:val="both"/>
      </w:pPr>
    </w:p>
    <w:p w:rsidR="001C3BC5" w:rsidRDefault="001C3BC5">
      <w:pPr>
        <w:spacing w:after="0" w:line="240" w:lineRule="auto"/>
        <w:jc w:val="both"/>
      </w:pPr>
    </w:p>
    <w:p w:rsidR="001C3BC5" w:rsidRDefault="001C3BC5">
      <w:pPr>
        <w:spacing w:after="0" w:line="240" w:lineRule="auto"/>
        <w:jc w:val="both"/>
      </w:pPr>
    </w:p>
    <w:p w:rsidR="001C3BC5" w:rsidRDefault="001C3BC5">
      <w:pPr>
        <w:spacing w:after="0" w:line="240" w:lineRule="auto"/>
        <w:jc w:val="both"/>
      </w:pPr>
    </w:p>
    <w:p w:rsidR="00F71EDD" w:rsidRDefault="00F71EDD">
      <w:pPr>
        <w:spacing w:after="0" w:line="240" w:lineRule="auto"/>
        <w:jc w:val="both"/>
      </w:pPr>
    </w:p>
    <w:p w:rsidR="00F71EDD" w:rsidRDefault="00F71EDD">
      <w:pPr>
        <w:spacing w:after="0" w:line="240" w:lineRule="auto"/>
        <w:jc w:val="both"/>
      </w:pPr>
    </w:p>
    <w:p w:rsidR="00F71EDD" w:rsidRDefault="00F71EDD">
      <w:pPr>
        <w:spacing w:after="0" w:line="240" w:lineRule="auto"/>
        <w:jc w:val="both"/>
      </w:pPr>
    </w:p>
    <w:p w:rsidR="00F71EDD" w:rsidRDefault="00F71EDD">
      <w:pPr>
        <w:spacing w:after="0" w:line="240" w:lineRule="auto"/>
        <w:jc w:val="both"/>
      </w:pPr>
    </w:p>
    <w:p w:rsidR="00F71EDD" w:rsidRDefault="00F71EDD">
      <w:pPr>
        <w:spacing w:after="0" w:line="240" w:lineRule="auto"/>
        <w:jc w:val="both"/>
      </w:pPr>
    </w:p>
    <w:p w:rsidR="00F71EDD" w:rsidRDefault="00F71EDD">
      <w:pPr>
        <w:spacing w:after="0" w:line="240" w:lineRule="auto"/>
        <w:jc w:val="both"/>
      </w:pPr>
    </w:p>
    <w:p w:rsidR="00F71EDD" w:rsidRDefault="00F71EDD">
      <w:pPr>
        <w:spacing w:after="0" w:line="240" w:lineRule="auto"/>
        <w:jc w:val="both"/>
      </w:pPr>
    </w:p>
    <w:p w:rsidR="00F71EDD" w:rsidRDefault="00F71EDD">
      <w:pPr>
        <w:spacing w:after="0" w:line="240" w:lineRule="auto"/>
        <w:jc w:val="both"/>
      </w:pPr>
    </w:p>
    <w:p w:rsidR="00F71EDD" w:rsidRDefault="00F71EDD">
      <w:pPr>
        <w:spacing w:after="0" w:line="240" w:lineRule="auto"/>
        <w:jc w:val="both"/>
      </w:pPr>
    </w:p>
    <w:p w:rsidR="00F71EDD" w:rsidRDefault="00F71EDD">
      <w:pPr>
        <w:spacing w:after="0" w:line="240" w:lineRule="auto"/>
        <w:jc w:val="both"/>
      </w:pPr>
    </w:p>
    <w:p w:rsidR="00F71EDD" w:rsidRDefault="00F71EDD">
      <w:pPr>
        <w:spacing w:after="0" w:line="240" w:lineRule="auto"/>
        <w:jc w:val="both"/>
      </w:pPr>
    </w:p>
    <w:p w:rsidR="00F71EDD" w:rsidRDefault="00F71EDD">
      <w:pPr>
        <w:spacing w:after="0" w:line="240" w:lineRule="auto"/>
        <w:jc w:val="both"/>
      </w:pPr>
    </w:p>
    <w:p w:rsidR="00F71EDD" w:rsidRDefault="00F71EDD">
      <w:pPr>
        <w:spacing w:after="0" w:line="240" w:lineRule="auto"/>
        <w:jc w:val="both"/>
      </w:pPr>
    </w:p>
    <w:p w:rsidR="00F71EDD" w:rsidRDefault="00F71EDD">
      <w:pPr>
        <w:spacing w:after="0" w:line="240" w:lineRule="auto"/>
        <w:jc w:val="both"/>
      </w:pPr>
    </w:p>
    <w:p w:rsidR="00F71EDD" w:rsidRDefault="00F71EDD">
      <w:pPr>
        <w:spacing w:after="0" w:line="240" w:lineRule="auto"/>
        <w:jc w:val="both"/>
      </w:pPr>
    </w:p>
    <w:p w:rsidR="00F71EDD" w:rsidRDefault="00F71EDD">
      <w:pPr>
        <w:spacing w:after="0" w:line="240" w:lineRule="auto"/>
        <w:jc w:val="both"/>
      </w:pPr>
    </w:p>
    <w:p w:rsidR="00F71EDD" w:rsidRDefault="00F71EDD">
      <w:pPr>
        <w:spacing w:after="0" w:line="240" w:lineRule="auto"/>
        <w:jc w:val="both"/>
      </w:pPr>
    </w:p>
    <w:p w:rsidR="00F71EDD" w:rsidRDefault="00BA3671" w:rsidP="00BA3671">
      <w:pPr>
        <w:tabs>
          <w:tab w:val="left" w:pos="7996"/>
        </w:tabs>
        <w:spacing w:after="0" w:line="240" w:lineRule="auto"/>
        <w:jc w:val="both"/>
      </w:pPr>
      <w:r>
        <w:tab/>
      </w:r>
    </w:p>
    <w:p w:rsidR="001C3BC5" w:rsidRDefault="001C3BC5">
      <w:pPr>
        <w:spacing w:after="0" w:line="240" w:lineRule="auto"/>
        <w:jc w:val="both"/>
      </w:pPr>
    </w:p>
    <w:p w:rsidR="00F71EDD" w:rsidRPr="00F71EDD" w:rsidRDefault="00F71EDD" w:rsidP="00F71EDD">
      <w:pPr>
        <w:pBdr>
          <w:bottom w:val="single" w:sz="4" w:space="1" w:color="000000"/>
        </w:pBdr>
        <w:spacing w:after="0" w:line="240" w:lineRule="auto"/>
        <w:jc w:val="both"/>
        <w:rPr>
          <w:b/>
        </w:rPr>
      </w:pPr>
      <w:r>
        <w:rPr>
          <w:b/>
        </w:rPr>
        <w:t>Avant- propos</w:t>
      </w:r>
    </w:p>
    <w:p w:rsidR="001C3BC5" w:rsidRDefault="001C3BC5" w:rsidP="00F71EDD">
      <w:pPr>
        <w:spacing w:after="0" w:line="240" w:lineRule="auto"/>
        <w:jc w:val="both"/>
      </w:pPr>
    </w:p>
    <w:p w:rsidR="001C3BC5" w:rsidRDefault="00C6006B" w:rsidP="00F71EDD">
      <w:pPr>
        <w:spacing w:after="0" w:line="240" w:lineRule="auto"/>
        <w:jc w:val="both"/>
      </w:pPr>
      <w:r>
        <w:t>Le secteur ouest du 5</w:t>
      </w:r>
      <w:r>
        <w:rPr>
          <w:vertAlign w:val="superscript"/>
        </w:rPr>
        <w:t>e</w:t>
      </w:r>
      <w:r>
        <w:t xml:space="preserve"> arrondissement regroupe 4 IRIS de l’INSEE (« Ménival », « Valdo », « Albéric Pont » et « Plaine Charcot ») qui totalisent 11 500 habitants en 2021. A la lecture des typologies des professions et catégories sociales, ce territoire recouvre des îlots d’habi</w:t>
      </w:r>
      <w:r>
        <w:t>tation assez contrastés mêlant secteur pavillonnaire et parc social. Le secteur comporte deux quartiers populaires métropolitains (QPM) : Ménival et Jeunet. Ce sont de petits quartiers presque à l'échelle d'une résidence (notamment pour Jeunet).</w:t>
      </w:r>
    </w:p>
    <w:p w:rsidR="001C3BC5" w:rsidRDefault="001C3BC5">
      <w:pPr>
        <w:spacing w:after="0" w:line="240" w:lineRule="auto"/>
        <w:jc w:val="both"/>
      </w:pPr>
    </w:p>
    <w:p w:rsidR="00F71EDD" w:rsidRDefault="00F71EDD">
      <w:pPr>
        <w:spacing w:after="0" w:line="240" w:lineRule="auto"/>
        <w:jc w:val="both"/>
      </w:pPr>
    </w:p>
    <w:p w:rsidR="001C3BC5" w:rsidRDefault="001C3BC5" w:rsidP="00EA3AEC">
      <w:pPr>
        <w:tabs>
          <w:tab w:val="left" w:pos="284"/>
        </w:tabs>
        <w:spacing w:after="0" w:line="240" w:lineRule="auto"/>
        <w:jc w:val="both"/>
      </w:pPr>
    </w:p>
    <w:p w:rsidR="001C3BC5" w:rsidRDefault="00C6006B" w:rsidP="00EA3AEC">
      <w:pPr>
        <w:pStyle w:val="Paragraphedeliste"/>
        <w:numPr>
          <w:ilvl w:val="0"/>
          <w:numId w:val="1"/>
        </w:numPr>
        <w:pBdr>
          <w:bottom w:val="single" w:sz="4" w:space="1" w:color="000000"/>
        </w:pBdr>
        <w:tabs>
          <w:tab w:val="left" w:pos="284"/>
        </w:tabs>
        <w:spacing w:after="0" w:line="240" w:lineRule="auto"/>
        <w:ind w:left="0" w:firstLine="0"/>
        <w:jc w:val="both"/>
        <w:rPr>
          <w:b/>
        </w:rPr>
      </w:pPr>
      <w:r>
        <w:rPr>
          <w:b/>
        </w:rPr>
        <w:t>Cadre po</w:t>
      </w:r>
      <w:r>
        <w:rPr>
          <w:b/>
        </w:rPr>
        <w:t>litique  et objectifs :</w:t>
      </w:r>
    </w:p>
    <w:p w:rsidR="001C3BC5" w:rsidRDefault="001C3BC5">
      <w:pPr>
        <w:spacing w:after="0" w:line="240" w:lineRule="auto"/>
        <w:jc w:val="both"/>
      </w:pPr>
    </w:p>
    <w:p w:rsidR="001C3BC5" w:rsidRDefault="00C6006B">
      <w:pPr>
        <w:spacing w:after="0" w:line="240" w:lineRule="auto"/>
        <w:jc w:val="both"/>
      </w:pPr>
      <w:r>
        <w:t>En s’engageant aux côtés des personnes et en leur proposant ou en accueillant des projets en mesure de développer la capacité des individus à comprendre le monde et à construire des leviers d’action individuels et collectifs, l’édu</w:t>
      </w:r>
      <w:r>
        <w:t>cation populaire est une ressource essentielle pour relever les défis sociétaux et environnementaux d’aujourd’hui.</w:t>
      </w:r>
    </w:p>
    <w:p w:rsidR="001C3BC5" w:rsidRDefault="001C3BC5">
      <w:pPr>
        <w:spacing w:after="0" w:line="240" w:lineRule="auto"/>
        <w:jc w:val="both"/>
        <w:rPr>
          <w:b/>
        </w:rPr>
      </w:pPr>
    </w:p>
    <w:p w:rsidR="001C3BC5" w:rsidRDefault="00C6006B">
      <w:pPr>
        <w:spacing w:after="0" w:line="240" w:lineRule="auto"/>
        <w:jc w:val="both"/>
        <w:rPr>
          <w:b/>
        </w:rPr>
      </w:pPr>
      <w:r>
        <w:rPr>
          <w:b/>
        </w:rPr>
        <w:t>Pour la Ville de Lyon, l’éducation populaire est un axe fort de l’action municipale pour répondre en particulier à trois priorités essentiel</w:t>
      </w:r>
      <w:r>
        <w:rPr>
          <w:b/>
        </w:rPr>
        <w:t xml:space="preserve">les : </w:t>
      </w:r>
    </w:p>
    <w:p w:rsidR="001C3BC5" w:rsidRDefault="001C3BC5">
      <w:pPr>
        <w:spacing w:after="0" w:line="240" w:lineRule="auto"/>
        <w:jc w:val="both"/>
        <w:rPr>
          <w:b/>
        </w:rPr>
      </w:pPr>
    </w:p>
    <w:p w:rsidR="001C3BC5" w:rsidRDefault="00C6006B">
      <w:pPr>
        <w:numPr>
          <w:ilvl w:val="0"/>
          <w:numId w:val="12"/>
        </w:numPr>
        <w:spacing w:after="0" w:line="240" w:lineRule="auto"/>
        <w:jc w:val="both"/>
        <w:rPr>
          <w:b/>
        </w:rPr>
      </w:pPr>
      <w:r>
        <w:rPr>
          <w:b/>
        </w:rPr>
        <w:t>Une politique jeunesse productrice de lien social et de démocratie,</w:t>
      </w:r>
    </w:p>
    <w:p w:rsidR="001C3BC5" w:rsidRDefault="00C6006B">
      <w:pPr>
        <w:numPr>
          <w:ilvl w:val="0"/>
          <w:numId w:val="12"/>
        </w:numPr>
        <w:spacing w:after="0" w:line="240" w:lineRule="auto"/>
        <w:jc w:val="both"/>
        <w:rPr>
          <w:b/>
        </w:rPr>
      </w:pPr>
      <w:r>
        <w:rPr>
          <w:b/>
        </w:rPr>
        <w:t>Une démarche d’accompagnement de la transition écologique et sociale comme vecteur d’émancipation et de revitalisation démocratique,</w:t>
      </w:r>
    </w:p>
    <w:p w:rsidR="001C3BC5" w:rsidRDefault="00C6006B">
      <w:pPr>
        <w:numPr>
          <w:ilvl w:val="0"/>
          <w:numId w:val="12"/>
        </w:numPr>
        <w:spacing w:after="0" w:line="240" w:lineRule="auto"/>
        <w:jc w:val="both"/>
        <w:rPr>
          <w:b/>
        </w:rPr>
      </w:pPr>
      <w:r>
        <w:rPr>
          <w:b/>
        </w:rPr>
        <w:t>Le soutien à la liberté associative avec des as</w:t>
      </w:r>
      <w:r>
        <w:rPr>
          <w:b/>
        </w:rPr>
        <w:t>sociations entendues comme outils de transformation sociale.</w:t>
      </w:r>
    </w:p>
    <w:p w:rsidR="001C3BC5" w:rsidRDefault="001C3BC5">
      <w:pPr>
        <w:spacing w:after="0" w:line="240" w:lineRule="auto"/>
        <w:jc w:val="both"/>
      </w:pPr>
    </w:p>
    <w:p w:rsidR="001C3BC5" w:rsidRDefault="00C6006B">
      <w:pPr>
        <w:spacing w:after="0" w:line="240" w:lineRule="auto"/>
        <w:jc w:val="both"/>
        <w:rPr>
          <w:color w:val="000000" w:themeColor="text1"/>
        </w:rPr>
      </w:pPr>
      <w:r>
        <w:rPr>
          <w:color w:val="000000" w:themeColor="text1"/>
        </w:rPr>
        <w:t>Les enjeux et priorités de la Ville de Lyon se traduisent également dans plusieurs documents-cadres et contrats de projet tels que, par exemple, le Projet éducatif lyonnais,  la Convention terri</w:t>
      </w:r>
      <w:r>
        <w:rPr>
          <w:color w:val="000000" w:themeColor="text1"/>
        </w:rPr>
        <w:t>toriale de Lyon, la Charte de coopération culturelle, le Plan Climat et le Pacte Lyon 2030, ainsi que dans un fort partenariat avec la Caisse d’Allocations Familiales avec la Convention Territoriale Globale.</w:t>
      </w:r>
    </w:p>
    <w:p w:rsidR="001C3BC5" w:rsidRDefault="001C3BC5">
      <w:pPr>
        <w:spacing w:after="0" w:line="240" w:lineRule="auto"/>
        <w:jc w:val="both"/>
        <w:rPr>
          <w:b/>
        </w:rPr>
      </w:pPr>
    </w:p>
    <w:p w:rsidR="001C3BC5" w:rsidRDefault="00C6006B">
      <w:pPr>
        <w:spacing w:after="0" w:line="240" w:lineRule="auto"/>
        <w:jc w:val="both"/>
      </w:pPr>
      <w:r>
        <w:t>Avec cet appel à initiatives associatives, la V</w:t>
      </w:r>
      <w:r>
        <w:t>ille de Lyon souhaite, dans le respect de ses compétences légales et pour la période 2026-2029, encourager et soutenir une association d’éducation populaire qui, par son approche globale et intégrée, et son ancrage lyonnais, constitue :</w:t>
      </w:r>
    </w:p>
    <w:p w:rsidR="001C3BC5" w:rsidRDefault="001C3BC5">
      <w:pPr>
        <w:spacing w:after="0" w:line="240" w:lineRule="auto"/>
        <w:jc w:val="both"/>
      </w:pPr>
    </w:p>
    <w:p w:rsidR="001C3BC5" w:rsidRDefault="00C6006B">
      <w:pPr>
        <w:numPr>
          <w:ilvl w:val="0"/>
          <w:numId w:val="12"/>
        </w:numPr>
        <w:spacing w:after="0" w:line="240" w:lineRule="auto"/>
        <w:jc w:val="both"/>
      </w:pPr>
      <w:r>
        <w:t>Un lieu ressources</w:t>
      </w:r>
      <w:r>
        <w:t xml:space="preserve"> pour le développement et l’émancipation des personnes, en particulier des enfants, des jeunes et de leurs familles,</w:t>
      </w:r>
    </w:p>
    <w:p w:rsidR="001C3BC5" w:rsidRDefault="00C6006B">
      <w:pPr>
        <w:numPr>
          <w:ilvl w:val="0"/>
          <w:numId w:val="12"/>
        </w:numPr>
        <w:spacing w:after="0" w:line="240" w:lineRule="auto"/>
        <w:jc w:val="both"/>
      </w:pPr>
      <w:r>
        <w:t>Une offre de services de proximité innovante et adaptée aux besoins et aux aspirations des habitants dans une visée d’autonomisation des pe</w:t>
      </w:r>
      <w:r>
        <w:t>rsonnes et de développement du vivre-ensemble,</w:t>
      </w:r>
    </w:p>
    <w:p w:rsidR="001C3BC5" w:rsidRDefault="00C6006B">
      <w:pPr>
        <w:numPr>
          <w:ilvl w:val="0"/>
          <w:numId w:val="12"/>
        </w:numPr>
        <w:spacing w:after="0" w:line="240" w:lineRule="auto"/>
        <w:jc w:val="both"/>
      </w:pPr>
      <w:r>
        <w:t>Une ressource structurante pour le développement social, éducatif, culturel, au niveau du quartier comme de la ville, par sa capacité de mobilisation et de travail en réseau.</w:t>
      </w:r>
    </w:p>
    <w:p w:rsidR="001C3BC5" w:rsidRDefault="001C3BC5">
      <w:pPr>
        <w:spacing w:after="0" w:line="240" w:lineRule="auto"/>
        <w:jc w:val="both"/>
        <w:rPr>
          <w:b/>
        </w:rPr>
      </w:pPr>
    </w:p>
    <w:p w:rsidR="001C3BC5" w:rsidRDefault="00C6006B">
      <w:pPr>
        <w:spacing w:after="0" w:line="240" w:lineRule="auto"/>
        <w:jc w:val="both"/>
        <w:rPr>
          <w:b/>
          <w:bCs/>
        </w:rPr>
      </w:pPr>
      <w:r>
        <w:t>Le projet attendu devra, dans le cadre d’une démarche de développement social local, répondre en priorité aux enjeux d’accueil et d’accompagnement des enfants et de leurs familles dans une démarche éducative globale, en cohérence avec les objectifs du Proj</w:t>
      </w:r>
      <w:r w:rsidR="00EA3AEC">
        <w:t>et éducatif lyonnais (PEL</w:t>
      </w:r>
      <w:r>
        <w:t>). Ce dernier favorise :</w:t>
      </w:r>
    </w:p>
    <w:p w:rsidR="001C3BC5" w:rsidRDefault="00C6006B">
      <w:pPr>
        <w:pStyle w:val="Paragraphedeliste"/>
        <w:numPr>
          <w:ilvl w:val="0"/>
          <w:numId w:val="18"/>
        </w:numPr>
        <w:spacing w:after="0" w:line="240" w:lineRule="auto"/>
        <w:jc w:val="both"/>
      </w:pPr>
      <w:r>
        <w:t xml:space="preserve"> l’épanouissement et le bien-être individuel et collectif de tous les enfants, </w:t>
      </w:r>
    </w:p>
    <w:p w:rsidR="001C3BC5" w:rsidRDefault="00C6006B">
      <w:pPr>
        <w:pStyle w:val="Paragraphedeliste"/>
        <w:numPr>
          <w:ilvl w:val="0"/>
          <w:numId w:val="18"/>
        </w:numPr>
        <w:spacing w:after="0" w:line="240" w:lineRule="auto"/>
        <w:jc w:val="both"/>
      </w:pPr>
      <w:r>
        <w:t xml:space="preserve">la continuité de l’accompagnement de la petite enfance à l’adolescence, </w:t>
      </w:r>
    </w:p>
    <w:p w:rsidR="001C3BC5" w:rsidRDefault="00C6006B">
      <w:pPr>
        <w:pStyle w:val="Paragraphedeliste"/>
        <w:numPr>
          <w:ilvl w:val="0"/>
          <w:numId w:val="18"/>
        </w:numPr>
        <w:spacing w:after="0" w:line="240" w:lineRule="auto"/>
        <w:jc w:val="both"/>
      </w:pPr>
      <w:r>
        <w:t>une approche globale des différents temps de l’enfan</w:t>
      </w:r>
      <w:r>
        <w:t xml:space="preserve">t, </w:t>
      </w:r>
    </w:p>
    <w:p w:rsidR="001C3BC5" w:rsidRDefault="00C6006B">
      <w:pPr>
        <w:pStyle w:val="Paragraphedeliste"/>
        <w:numPr>
          <w:ilvl w:val="0"/>
          <w:numId w:val="18"/>
        </w:numPr>
        <w:spacing w:after="0" w:line="240" w:lineRule="auto"/>
        <w:jc w:val="both"/>
      </w:pPr>
      <w:r>
        <w:t>le partenariat local, dans une perspective de mixité sociale et de prise en compte des personnes rencontrant des difficultés sociales et éducatives.</w:t>
      </w:r>
    </w:p>
    <w:p w:rsidR="001C3BC5" w:rsidRDefault="001C3BC5">
      <w:pPr>
        <w:spacing w:after="0" w:line="240" w:lineRule="auto"/>
        <w:jc w:val="both"/>
        <w:rPr>
          <w:bCs/>
          <w:i/>
        </w:rPr>
      </w:pPr>
    </w:p>
    <w:p w:rsidR="00EA3AEC" w:rsidRDefault="00EA3AEC">
      <w:pPr>
        <w:tabs>
          <w:tab w:val="left" w:pos="142"/>
        </w:tabs>
        <w:spacing w:after="0" w:line="240" w:lineRule="auto"/>
        <w:jc w:val="both"/>
      </w:pPr>
    </w:p>
    <w:p w:rsidR="00EA3AEC" w:rsidRDefault="00EA3AEC">
      <w:pPr>
        <w:tabs>
          <w:tab w:val="left" w:pos="142"/>
        </w:tabs>
        <w:spacing w:after="0" w:line="240" w:lineRule="auto"/>
        <w:jc w:val="both"/>
      </w:pPr>
    </w:p>
    <w:p w:rsidR="00EA3AEC" w:rsidRDefault="00EA3AEC">
      <w:pPr>
        <w:tabs>
          <w:tab w:val="left" w:pos="142"/>
        </w:tabs>
        <w:spacing w:after="0" w:line="240" w:lineRule="auto"/>
        <w:jc w:val="both"/>
      </w:pPr>
    </w:p>
    <w:p w:rsidR="00EA3AEC" w:rsidRDefault="00EA3AEC">
      <w:pPr>
        <w:tabs>
          <w:tab w:val="left" w:pos="142"/>
        </w:tabs>
        <w:spacing w:after="0" w:line="240" w:lineRule="auto"/>
        <w:jc w:val="both"/>
      </w:pPr>
    </w:p>
    <w:p w:rsidR="001C3BC5" w:rsidRDefault="00C6006B">
      <w:pPr>
        <w:tabs>
          <w:tab w:val="left" w:pos="142"/>
        </w:tabs>
        <w:spacing w:after="0" w:line="240" w:lineRule="auto"/>
        <w:jc w:val="both"/>
      </w:pPr>
      <w:r>
        <w:t>La Ville de Lyon sera également attentive aux propositions développées en matière:</w:t>
      </w:r>
    </w:p>
    <w:p w:rsidR="001C3BC5" w:rsidRDefault="001C3BC5">
      <w:pPr>
        <w:tabs>
          <w:tab w:val="left" w:pos="142"/>
        </w:tabs>
        <w:spacing w:after="0" w:line="240" w:lineRule="auto"/>
        <w:jc w:val="both"/>
      </w:pPr>
    </w:p>
    <w:p w:rsidR="00EA3AEC" w:rsidRDefault="00C6006B">
      <w:pPr>
        <w:pStyle w:val="Paragraphedeliste"/>
        <w:numPr>
          <w:ilvl w:val="0"/>
          <w:numId w:val="21"/>
        </w:numPr>
        <w:tabs>
          <w:tab w:val="left" w:pos="142"/>
        </w:tabs>
        <w:spacing w:after="0" w:line="240" w:lineRule="auto"/>
        <w:jc w:val="both"/>
      </w:pPr>
      <w:r>
        <w:rPr>
          <w:b/>
        </w:rPr>
        <w:t>D’ac</w:t>
      </w:r>
      <w:r>
        <w:rPr>
          <w:b/>
        </w:rPr>
        <w:t>compagnement de la transition écologique et sociale</w:t>
      </w:r>
      <w:r>
        <w:t> : les associations constituent des acteurs de premier plan pour accompagner les initiatives alliant le sens de projets favorisant la promotion du vivant, le développement des pratiques et usages éco-citoy</w:t>
      </w:r>
      <w:r>
        <w:t xml:space="preserve">ens, le développement du lien social, les dynamiques d’émancipation individuelle et collective. </w:t>
      </w:r>
    </w:p>
    <w:p w:rsidR="001C3BC5" w:rsidRDefault="00C6006B">
      <w:pPr>
        <w:pStyle w:val="Paragraphedeliste"/>
        <w:numPr>
          <w:ilvl w:val="0"/>
          <w:numId w:val="21"/>
        </w:numPr>
        <w:tabs>
          <w:tab w:val="left" w:pos="142"/>
        </w:tabs>
        <w:spacing w:after="0" w:line="240" w:lineRule="auto"/>
        <w:jc w:val="both"/>
      </w:pPr>
      <w:r>
        <w:rPr>
          <w:b/>
        </w:rPr>
        <w:t>De participation des habitants, d’exercice de la citoyenneté, d’engagement et de soutien à la vie associative locale</w:t>
      </w:r>
      <w:r>
        <w:t xml:space="preserve"> : à ce titre, les démarches conduites avec </w:t>
      </w:r>
      <w:r>
        <w:t xml:space="preserve">les habitants et permettant l’expression collective des besoins comme la formalisation de propositions des usagers relatives à leurs conditions de vie seront appréciées (promotion de l’expertise d’usage des habitants). </w:t>
      </w:r>
    </w:p>
    <w:p w:rsidR="001C3BC5" w:rsidRDefault="00C6006B">
      <w:pPr>
        <w:pStyle w:val="Paragraphedeliste"/>
        <w:numPr>
          <w:ilvl w:val="0"/>
          <w:numId w:val="20"/>
        </w:numPr>
        <w:tabs>
          <w:tab w:val="left" w:pos="142"/>
        </w:tabs>
        <w:spacing w:after="0" w:line="240" w:lineRule="auto"/>
        <w:jc w:val="both"/>
      </w:pPr>
      <w:r>
        <w:rPr>
          <w:b/>
        </w:rPr>
        <w:t xml:space="preserve">De solidarités, d’accès aux droits </w:t>
      </w:r>
      <w:r>
        <w:rPr>
          <w:b/>
        </w:rPr>
        <w:t>et d’inclusion</w:t>
      </w:r>
      <w:r>
        <w:t xml:space="preserve"> par la prise en compte des publics précaires ou empêchés, en s’appuyant notamment sur les notions de proximité et de qualité de l’accueil des habitants, la lutte contre toute forme d’exclusion et de  discrimination, les démarches favorisant </w:t>
      </w:r>
      <w:r>
        <w:t>la cohésion sociale et l’égalité des droits, les démarches « d’aller vers » et l’adaptation  des actions aux besoins spécifiques des publics y compris en termes d’inclusion numérique, d’articulation avec les acteurs locaux et institutionnels du champ socia</w:t>
      </w:r>
      <w:r>
        <w:t>l et médico-social.</w:t>
      </w:r>
    </w:p>
    <w:p w:rsidR="001C3BC5" w:rsidRDefault="00C6006B">
      <w:pPr>
        <w:pStyle w:val="Paragraphedeliste"/>
        <w:numPr>
          <w:ilvl w:val="0"/>
          <w:numId w:val="20"/>
        </w:numPr>
        <w:tabs>
          <w:tab w:val="left" w:pos="142"/>
        </w:tabs>
        <w:spacing w:after="0" w:line="240" w:lineRule="auto"/>
        <w:jc w:val="both"/>
        <w:rPr>
          <w:b/>
          <w:bCs/>
        </w:rPr>
      </w:pPr>
      <w:r>
        <w:rPr>
          <w:b/>
        </w:rPr>
        <w:t xml:space="preserve">D’animation de la vie sociale et culturelle locale </w:t>
      </w:r>
      <w:r w:rsidRPr="00EA3AEC">
        <w:t>par des projets favorisant le vivre-ensemble, le faire-ensemble, les rencontres entre générations, l’égalité de genre, l’accès à la culture, au sport et aux loisirs, la démocratisation</w:t>
      </w:r>
      <w:r w:rsidRPr="00EA3AEC">
        <w:t xml:space="preserve"> des savoirs, l’éducation aux médias et à l’écocitoyenneté, comme leviers d’expression et d’émancipation individuelle et collective</w:t>
      </w:r>
      <w:r>
        <w:rPr>
          <w:b/>
        </w:rPr>
        <w:t>.</w:t>
      </w:r>
    </w:p>
    <w:p w:rsidR="001C3BC5" w:rsidRDefault="001C3BC5">
      <w:pPr>
        <w:spacing w:after="0" w:line="240" w:lineRule="auto"/>
        <w:jc w:val="both"/>
      </w:pPr>
    </w:p>
    <w:p w:rsidR="001C3BC5" w:rsidRDefault="00C6006B">
      <w:pPr>
        <w:spacing w:after="0" w:line="240" w:lineRule="auto"/>
        <w:jc w:val="both"/>
        <w:rPr>
          <w:color w:val="000000" w:themeColor="text1"/>
        </w:rPr>
      </w:pPr>
      <w:r>
        <w:t>Au regard de la pertinence du</w:t>
      </w:r>
      <w:r>
        <w:rPr>
          <w:color w:val="000000" w:themeColor="text1"/>
        </w:rPr>
        <w:t xml:space="preserve"> projet proposé dans le cadre de ces enjeux globaux, la Ville de Lyon se réserve le droit de </w:t>
      </w:r>
      <w:r>
        <w:rPr>
          <w:color w:val="000000" w:themeColor="text1"/>
        </w:rPr>
        <w:t>proposer la signature d’une convention pluriannuelle de subventionnement (jusqu’au 31 décembre 2029) avec l’association ou la fondation reconnue d’utilité publique retenue pour la mise en œuvre de son projet.</w:t>
      </w:r>
    </w:p>
    <w:p w:rsidR="001C3BC5" w:rsidRDefault="00C6006B">
      <w:pPr>
        <w:spacing w:after="0" w:line="240" w:lineRule="auto"/>
        <w:jc w:val="both"/>
        <w:rPr>
          <w:color w:val="000000" w:themeColor="text1"/>
        </w:rPr>
      </w:pPr>
      <w:r>
        <w:rPr>
          <w:color w:val="000000" w:themeColor="text1"/>
        </w:rPr>
        <w:t>A ce titre, l’association pourra solliciter ann</w:t>
      </w:r>
      <w:r>
        <w:rPr>
          <w:color w:val="000000" w:themeColor="text1"/>
        </w:rPr>
        <w:t xml:space="preserve">uellement l’attribution d’une subvention de fonctionnement, ainsi que la mise à disposition à titre gratuit des locaux (1 214 m²) et du parc (12 570 m², dont 8 000 m² d’espaces boisés) de l’actuel centre Pierre Valdo, et des locaux dans le groupe scolaire </w:t>
      </w:r>
      <w:r>
        <w:rPr>
          <w:color w:val="000000" w:themeColor="text1"/>
        </w:rPr>
        <w:t>des Gémeaux, sous réserve du vote du budget municipal, des procédures juridiques d’attribution et de l’évaluation annuelle des projets déposés.</w:t>
      </w:r>
    </w:p>
    <w:p w:rsidR="001C3BC5" w:rsidRDefault="001C3BC5">
      <w:pPr>
        <w:spacing w:after="0" w:line="240" w:lineRule="auto"/>
        <w:jc w:val="both"/>
        <w:rPr>
          <w:color w:val="000000" w:themeColor="text1"/>
        </w:rPr>
      </w:pPr>
    </w:p>
    <w:p w:rsidR="00C6006B" w:rsidRDefault="00C6006B">
      <w:pPr>
        <w:spacing w:after="0" w:line="240" w:lineRule="auto"/>
        <w:jc w:val="both"/>
        <w:rPr>
          <w:color w:val="000000" w:themeColor="text1"/>
        </w:rPr>
      </w:pPr>
    </w:p>
    <w:p w:rsidR="001C3BC5" w:rsidRDefault="001C3BC5">
      <w:pPr>
        <w:spacing w:after="0" w:line="240" w:lineRule="auto"/>
        <w:jc w:val="both"/>
      </w:pPr>
    </w:p>
    <w:p w:rsidR="001C3BC5" w:rsidRDefault="00C6006B" w:rsidP="00EA3AEC">
      <w:pPr>
        <w:pStyle w:val="Paragraphedeliste"/>
        <w:numPr>
          <w:ilvl w:val="0"/>
          <w:numId w:val="1"/>
        </w:numPr>
        <w:pBdr>
          <w:bottom w:val="single" w:sz="4" w:space="1" w:color="000000"/>
        </w:pBdr>
        <w:tabs>
          <w:tab w:val="left" w:pos="284"/>
        </w:tabs>
        <w:spacing w:after="0" w:line="240" w:lineRule="auto"/>
        <w:ind w:left="0" w:firstLine="0"/>
        <w:jc w:val="both"/>
        <w:rPr>
          <w:b/>
        </w:rPr>
      </w:pPr>
      <w:r>
        <w:rPr>
          <w:b/>
        </w:rPr>
        <w:t>Critères d’éligibilité et de sélection des projets</w:t>
      </w:r>
    </w:p>
    <w:p w:rsidR="001C3BC5" w:rsidRDefault="001C3BC5">
      <w:pPr>
        <w:spacing w:after="0" w:line="240" w:lineRule="auto"/>
        <w:jc w:val="both"/>
      </w:pPr>
    </w:p>
    <w:p w:rsidR="001C3BC5" w:rsidRDefault="00C6006B">
      <w:pPr>
        <w:pStyle w:val="Paragraphedeliste"/>
        <w:numPr>
          <w:ilvl w:val="0"/>
          <w:numId w:val="2"/>
        </w:numPr>
        <w:spacing w:after="0" w:line="240" w:lineRule="auto"/>
        <w:jc w:val="both"/>
      </w:pPr>
      <w:r>
        <w:t>Être une association loi 1901 ayant des activités à Lyon, et agréée par l’État au titre de l’éducation populaire,</w:t>
      </w:r>
    </w:p>
    <w:p w:rsidR="001C3BC5" w:rsidRDefault="00C6006B">
      <w:pPr>
        <w:pStyle w:val="Paragraphedeliste"/>
        <w:numPr>
          <w:ilvl w:val="0"/>
          <w:numId w:val="2"/>
        </w:numPr>
        <w:spacing w:after="0" w:line="240" w:lineRule="auto"/>
        <w:jc w:val="both"/>
      </w:pPr>
      <w:r>
        <w:t>Présenter une gouvernance démocratique, participative et ouverte, favorisant la prise de responsabilités des adhérents, l’égalité femme-homme,</w:t>
      </w:r>
      <w:r>
        <w:t xml:space="preserve"> la place des jeunes.</w:t>
      </w:r>
    </w:p>
    <w:p w:rsidR="001C3BC5" w:rsidRDefault="00C6006B">
      <w:pPr>
        <w:pStyle w:val="Paragraphedeliste"/>
        <w:numPr>
          <w:ilvl w:val="0"/>
          <w:numId w:val="2"/>
        </w:numPr>
        <w:spacing w:after="0" w:line="240" w:lineRule="auto"/>
        <w:jc w:val="both"/>
      </w:pPr>
      <w:r>
        <w:t>Présenter un projet associatif intégré et transversal garant d’une démarche de développement social local et d’éducation populaire,</w:t>
      </w:r>
    </w:p>
    <w:p w:rsidR="001C3BC5" w:rsidRDefault="00C6006B">
      <w:pPr>
        <w:pStyle w:val="Paragraphedeliste"/>
        <w:numPr>
          <w:ilvl w:val="0"/>
          <w:numId w:val="2"/>
        </w:numPr>
        <w:spacing w:after="0" w:line="240" w:lineRule="auto"/>
        <w:jc w:val="both"/>
      </w:pPr>
      <w:r>
        <w:t>Proposer une offre de services adaptée aux besoins des habitants, notamment les plus fragiles.</w:t>
      </w:r>
    </w:p>
    <w:p w:rsidR="001C3BC5" w:rsidRDefault="00C6006B">
      <w:pPr>
        <w:pStyle w:val="Paragraphedeliste"/>
        <w:numPr>
          <w:ilvl w:val="0"/>
          <w:numId w:val="2"/>
        </w:numPr>
        <w:spacing w:after="0" w:line="240" w:lineRule="auto"/>
        <w:jc w:val="both"/>
      </w:pPr>
      <w:r>
        <w:t>Favoris</w:t>
      </w:r>
      <w:r>
        <w:t>er la participation des habitants, l’accompagnement des initiatives et la vie associative locale.</w:t>
      </w:r>
    </w:p>
    <w:p w:rsidR="001C3BC5" w:rsidRDefault="00C6006B">
      <w:pPr>
        <w:pStyle w:val="Paragraphedeliste"/>
        <w:numPr>
          <w:ilvl w:val="0"/>
          <w:numId w:val="2"/>
        </w:numPr>
        <w:spacing w:after="0" w:line="240" w:lineRule="auto"/>
        <w:jc w:val="both"/>
      </w:pPr>
      <w:r>
        <w:t>Prendre en compte de façon significative les trois priorités transversales de la Ville de Lyon et les orientations des documents cadre contractuels précités.</w:t>
      </w:r>
    </w:p>
    <w:p w:rsidR="001C3BC5" w:rsidRDefault="001C3BC5">
      <w:pPr>
        <w:spacing w:after="0" w:line="240" w:lineRule="auto"/>
        <w:ind w:left="360"/>
        <w:jc w:val="both"/>
        <w:rPr>
          <w:color w:val="000000" w:themeColor="text1"/>
        </w:rPr>
      </w:pPr>
    </w:p>
    <w:p w:rsidR="001C3BC5" w:rsidRDefault="00C6006B">
      <w:pPr>
        <w:spacing w:after="0" w:line="240" w:lineRule="auto"/>
        <w:jc w:val="both"/>
      </w:pPr>
      <w:r>
        <w:t>Seront également appréciés :</w:t>
      </w:r>
    </w:p>
    <w:p w:rsidR="001C3BC5" w:rsidRDefault="00C6006B">
      <w:pPr>
        <w:pStyle w:val="Paragraphedeliste"/>
        <w:numPr>
          <w:ilvl w:val="0"/>
          <w:numId w:val="2"/>
        </w:numPr>
        <w:spacing w:after="0" w:line="240" w:lineRule="auto"/>
        <w:jc w:val="both"/>
      </w:pPr>
      <w:r>
        <w:t>Le caractère innovant du projet et sa cohérence avec les projets territoriaux pilotés par la Ville et ses partenaires institutionnels,</w:t>
      </w:r>
    </w:p>
    <w:p w:rsidR="001C3BC5" w:rsidRDefault="00C6006B">
      <w:pPr>
        <w:pStyle w:val="Paragraphedeliste"/>
        <w:numPr>
          <w:ilvl w:val="0"/>
          <w:numId w:val="2"/>
        </w:numPr>
        <w:spacing w:after="0" w:line="240" w:lineRule="auto"/>
        <w:jc w:val="both"/>
        <w:rPr>
          <w:color w:val="000000" w:themeColor="text1"/>
        </w:rPr>
      </w:pPr>
      <w:r>
        <w:rPr>
          <w:color w:val="000000" w:themeColor="text1"/>
        </w:rPr>
        <w:t>L’inscription dans le partenariat local,</w:t>
      </w:r>
    </w:p>
    <w:p w:rsidR="001C3BC5" w:rsidRDefault="00C6006B">
      <w:pPr>
        <w:pStyle w:val="Paragraphedeliste"/>
        <w:numPr>
          <w:ilvl w:val="0"/>
          <w:numId w:val="2"/>
        </w:numPr>
        <w:spacing w:after="0" w:line="240" w:lineRule="auto"/>
        <w:jc w:val="both"/>
        <w:rPr>
          <w:color w:val="000000" w:themeColor="text1"/>
        </w:rPr>
      </w:pPr>
      <w:r>
        <w:rPr>
          <w:color w:val="000000" w:themeColor="text1"/>
        </w:rPr>
        <w:t>la complémentarité des actions proposées,</w:t>
      </w:r>
    </w:p>
    <w:p w:rsidR="001C3BC5" w:rsidRDefault="00C6006B">
      <w:pPr>
        <w:pStyle w:val="Paragraphedeliste"/>
        <w:numPr>
          <w:ilvl w:val="0"/>
          <w:numId w:val="2"/>
        </w:numPr>
        <w:spacing w:after="0" w:line="240" w:lineRule="auto"/>
        <w:jc w:val="both"/>
        <w:rPr>
          <w:color w:val="000000" w:themeColor="text1"/>
        </w:rPr>
      </w:pPr>
      <w:r>
        <w:rPr>
          <w:color w:val="000000" w:themeColor="text1"/>
        </w:rPr>
        <w:t>La péren</w:t>
      </w:r>
      <w:r>
        <w:rPr>
          <w:color w:val="000000" w:themeColor="text1"/>
        </w:rPr>
        <w:t>nité du modèle économique de l’association,</w:t>
      </w:r>
    </w:p>
    <w:p w:rsidR="001C3BC5" w:rsidRDefault="00C6006B">
      <w:pPr>
        <w:pStyle w:val="Paragraphedeliste"/>
        <w:numPr>
          <w:ilvl w:val="0"/>
          <w:numId w:val="2"/>
        </w:numPr>
        <w:spacing w:after="0" w:line="240" w:lineRule="auto"/>
        <w:jc w:val="both"/>
        <w:rPr>
          <w:color w:val="000000" w:themeColor="text1"/>
        </w:rPr>
      </w:pPr>
      <w:r>
        <w:rPr>
          <w:color w:val="000000" w:themeColor="text1"/>
        </w:rPr>
        <w:t>Les activités proposées grâce à la présence d’un vaste parc de 12 570 m² dont 8 000 m² d’espaces boisés,</w:t>
      </w:r>
    </w:p>
    <w:p w:rsidR="001C3BC5" w:rsidRDefault="00C6006B">
      <w:pPr>
        <w:pStyle w:val="Paragraphedeliste"/>
        <w:numPr>
          <w:ilvl w:val="0"/>
          <w:numId w:val="2"/>
        </w:numPr>
        <w:spacing w:after="0" w:line="240" w:lineRule="auto"/>
        <w:jc w:val="both"/>
        <w:rPr>
          <w:color w:val="000000" w:themeColor="text1"/>
        </w:rPr>
      </w:pPr>
      <w:r>
        <w:rPr>
          <w:color w:val="000000" w:themeColor="text1"/>
        </w:rPr>
        <w:t>La méthodologie de suivi et d’évaluation des projets.</w:t>
      </w:r>
    </w:p>
    <w:p w:rsidR="001C3BC5" w:rsidRDefault="001C3BC5">
      <w:pPr>
        <w:spacing w:after="0" w:line="240" w:lineRule="auto"/>
        <w:jc w:val="both"/>
      </w:pPr>
    </w:p>
    <w:p w:rsidR="00057E2F" w:rsidRDefault="00057E2F">
      <w:pPr>
        <w:spacing w:after="0" w:line="240" w:lineRule="auto"/>
        <w:jc w:val="both"/>
      </w:pPr>
    </w:p>
    <w:p w:rsidR="00057E2F" w:rsidRDefault="00057E2F">
      <w:pPr>
        <w:spacing w:after="0" w:line="240" w:lineRule="auto"/>
        <w:jc w:val="both"/>
      </w:pPr>
    </w:p>
    <w:p w:rsidR="001C3BC5" w:rsidRDefault="00C6006B" w:rsidP="00EA3AEC">
      <w:pPr>
        <w:pStyle w:val="Paragraphedeliste"/>
        <w:numPr>
          <w:ilvl w:val="0"/>
          <w:numId w:val="1"/>
        </w:numPr>
        <w:pBdr>
          <w:bottom w:val="single" w:sz="4" w:space="1" w:color="000000"/>
        </w:pBdr>
        <w:tabs>
          <w:tab w:val="left" w:pos="284"/>
        </w:tabs>
        <w:spacing w:after="0" w:line="240" w:lineRule="auto"/>
        <w:ind w:left="0" w:firstLine="0"/>
        <w:jc w:val="both"/>
        <w:rPr>
          <w:b/>
        </w:rPr>
      </w:pPr>
      <w:bookmarkStart w:id="0" w:name="_GoBack"/>
      <w:bookmarkEnd w:id="0"/>
      <w:r>
        <w:rPr>
          <w:b/>
        </w:rPr>
        <w:t>Instruction des candidatures et calendrier prévisio</w:t>
      </w:r>
      <w:r>
        <w:rPr>
          <w:b/>
        </w:rPr>
        <w:t>nnel</w:t>
      </w:r>
    </w:p>
    <w:p w:rsidR="001C3BC5" w:rsidRDefault="001C3BC5">
      <w:pPr>
        <w:spacing w:after="0" w:line="240" w:lineRule="auto"/>
        <w:jc w:val="both"/>
        <w:rPr>
          <w:color w:val="000000" w:themeColor="text1"/>
        </w:rPr>
      </w:pPr>
    </w:p>
    <w:p w:rsidR="001C3BC5" w:rsidRDefault="00C6006B">
      <w:pPr>
        <w:spacing w:after="0" w:line="240" w:lineRule="auto"/>
        <w:jc w:val="both"/>
        <w:rPr>
          <w:color w:val="000000" w:themeColor="text1"/>
        </w:rPr>
      </w:pPr>
      <w:r>
        <w:rPr>
          <w:color w:val="000000" w:themeColor="text1"/>
        </w:rPr>
        <w:t>Les porteurs de projet sont invités à formaliser leur proposition à l’aide du dossier en PJ.</w:t>
      </w:r>
    </w:p>
    <w:p w:rsidR="001C3BC5" w:rsidRDefault="00C6006B">
      <w:pPr>
        <w:spacing w:after="0" w:line="240" w:lineRule="auto"/>
        <w:jc w:val="both"/>
        <w:rPr>
          <w:color w:val="000000" w:themeColor="text1"/>
        </w:rPr>
      </w:pPr>
      <w:r>
        <w:rPr>
          <w:color w:val="000000" w:themeColor="text1"/>
        </w:rPr>
        <w:t xml:space="preserve">Le dossier de candidature ainsi que les pièces annexes sont à adresser </w:t>
      </w:r>
      <w:r>
        <w:rPr>
          <w:b/>
          <w:bCs/>
          <w:color w:val="000000" w:themeColor="text1"/>
        </w:rPr>
        <w:t>avant le</w:t>
      </w:r>
      <w:r>
        <w:rPr>
          <w:b/>
          <w:color w:val="000000" w:themeColor="text1"/>
        </w:rPr>
        <w:t xml:space="preserve"> 17 octobre 2025 au plus tard,</w:t>
      </w:r>
      <w:r>
        <w:rPr>
          <w:color w:val="000000" w:themeColor="text1"/>
        </w:rPr>
        <w:t xml:space="preserve"> </w:t>
      </w:r>
      <w:r>
        <w:rPr>
          <w:b/>
          <w:bCs/>
          <w:color w:val="000000" w:themeColor="text1"/>
        </w:rPr>
        <w:t xml:space="preserve">délai de rigueur, </w:t>
      </w:r>
      <w:r>
        <w:rPr>
          <w:color w:val="000000" w:themeColor="text1"/>
        </w:rPr>
        <w:t xml:space="preserve">par voie dématérialisée à la Ville de Lyon à l’adresse suivante : </w:t>
      </w:r>
      <w:hyperlink r:id="rId11" w:tooltip="mailto:mission.dsl@mairie-lyon.fr" w:history="1">
        <w:r>
          <w:rPr>
            <w:rStyle w:val="Lienhypertexte"/>
            <w:sz w:val="28"/>
            <w:szCs w:val="28"/>
          </w:rPr>
          <w:t>mission.dsl@mairie-lyon.fr</w:t>
        </w:r>
      </w:hyperlink>
    </w:p>
    <w:p w:rsidR="001C3BC5" w:rsidRDefault="001C3BC5">
      <w:pPr>
        <w:spacing w:after="0" w:line="240" w:lineRule="auto"/>
        <w:jc w:val="both"/>
      </w:pPr>
    </w:p>
    <w:p w:rsidR="001C3BC5" w:rsidRDefault="00C6006B">
      <w:pPr>
        <w:spacing w:after="0" w:line="240" w:lineRule="auto"/>
        <w:jc w:val="both"/>
        <w:rPr>
          <w:color w:val="000000" w:themeColor="text1"/>
        </w:rPr>
      </w:pPr>
      <w:r>
        <w:t>Tout dos</w:t>
      </w:r>
      <w:r>
        <w:rPr>
          <w:color w:val="000000" w:themeColor="text1"/>
        </w:rPr>
        <w:t xml:space="preserve">sier non conforme, incomplet ou arrivé hors délai sera considéré </w:t>
      </w:r>
      <w:r>
        <w:rPr>
          <w:color w:val="000000" w:themeColor="text1"/>
        </w:rPr>
        <w:t>comme non recevable.</w:t>
      </w:r>
    </w:p>
    <w:p w:rsidR="001C3BC5" w:rsidRDefault="00C6006B">
      <w:pPr>
        <w:spacing w:after="0" w:line="240" w:lineRule="auto"/>
        <w:jc w:val="both"/>
      </w:pPr>
      <w:r>
        <w:t>Une rencontre de présentation et d’échange sera proposée à l’ensemble des porteurs de projets déclarés recevables à partir du 3 novembre 2025</w:t>
      </w:r>
      <w:r>
        <w:rPr>
          <w:b/>
        </w:rPr>
        <w:t>.</w:t>
      </w:r>
    </w:p>
    <w:p w:rsidR="001C3BC5" w:rsidRDefault="001C3BC5">
      <w:pPr>
        <w:spacing w:after="0" w:line="240" w:lineRule="auto"/>
        <w:jc w:val="both"/>
      </w:pPr>
    </w:p>
    <w:p w:rsidR="001C3BC5" w:rsidRDefault="001C3BC5">
      <w:pPr>
        <w:spacing w:after="0" w:line="240" w:lineRule="auto"/>
        <w:jc w:val="both"/>
      </w:pPr>
    </w:p>
    <w:p w:rsidR="00697F5B" w:rsidRDefault="00697F5B">
      <w:pPr>
        <w:spacing w:after="0" w:line="240" w:lineRule="auto"/>
        <w:jc w:val="both"/>
      </w:pPr>
    </w:p>
    <w:p w:rsidR="001C3BC5" w:rsidRDefault="00C6006B" w:rsidP="00EA3AEC">
      <w:pPr>
        <w:pStyle w:val="Paragraphedeliste"/>
        <w:numPr>
          <w:ilvl w:val="0"/>
          <w:numId w:val="1"/>
        </w:numPr>
        <w:pBdr>
          <w:bottom w:val="single" w:sz="4" w:space="1" w:color="000000"/>
        </w:pBdr>
        <w:tabs>
          <w:tab w:val="left" w:pos="284"/>
        </w:tabs>
        <w:spacing w:after="0" w:line="240" w:lineRule="auto"/>
        <w:ind w:left="0" w:firstLine="0"/>
        <w:jc w:val="both"/>
        <w:rPr>
          <w:b/>
        </w:rPr>
      </w:pPr>
      <w:r>
        <w:rPr>
          <w:b/>
        </w:rPr>
        <w:t>Annexes</w:t>
      </w:r>
    </w:p>
    <w:p w:rsidR="001C3BC5" w:rsidRDefault="001C3BC5">
      <w:pPr>
        <w:spacing w:after="0" w:line="240" w:lineRule="auto"/>
        <w:jc w:val="both"/>
      </w:pPr>
    </w:p>
    <w:p w:rsidR="001C3BC5" w:rsidRDefault="00C6006B">
      <w:pPr>
        <w:spacing w:after="0" w:line="240" w:lineRule="auto"/>
        <w:jc w:val="both"/>
      </w:pPr>
      <w:r>
        <w:t xml:space="preserve">Dossier de candidature </w:t>
      </w:r>
      <w:r w:rsidR="00EA3AEC">
        <w:t>2025 joint à l’</w:t>
      </w:r>
      <w:r w:rsidR="00697F5B">
        <w:t>AIA-Lyon 5</w:t>
      </w:r>
      <w:r w:rsidR="00697F5B" w:rsidRPr="00697F5B">
        <w:rPr>
          <w:vertAlign w:val="superscript"/>
        </w:rPr>
        <w:t>e</w:t>
      </w:r>
      <w:r w:rsidR="00697F5B">
        <w:t xml:space="preserve"> O</w:t>
      </w:r>
      <w:r w:rsidR="00EA3AEC">
        <w:t>uest</w:t>
      </w:r>
    </w:p>
    <w:p w:rsidR="001C3BC5" w:rsidRDefault="001C3BC5">
      <w:pPr>
        <w:spacing w:after="0" w:line="240" w:lineRule="auto"/>
        <w:jc w:val="both"/>
      </w:pPr>
    </w:p>
    <w:sectPr w:rsidR="001C3BC5" w:rsidSect="00BA3671">
      <w:footerReference w:type="default" r:id="rId12"/>
      <w:pgSz w:w="11906" w:h="16838"/>
      <w:pgMar w:top="907" w:right="907" w:bottom="907" w:left="907" w:header="709" w:footer="55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BC5" w:rsidRDefault="00C6006B">
      <w:pPr>
        <w:spacing w:after="0" w:line="240" w:lineRule="auto"/>
      </w:pPr>
      <w:r>
        <w:separator/>
      </w:r>
    </w:p>
  </w:endnote>
  <w:endnote w:type="continuationSeparator" w:id="0">
    <w:p w:rsidR="001C3BC5" w:rsidRDefault="00C60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F5B" w:rsidRDefault="00697F5B" w:rsidP="00697F5B">
    <w:pPr>
      <w:pStyle w:val="Pieddepage"/>
      <w:jc w:val="right"/>
      <w:rPr>
        <w:sz w:val="18"/>
        <w:szCs w:val="18"/>
      </w:rPr>
    </w:pPr>
    <w:sdt>
      <w:sdtPr>
        <w:id w:val="-1446535951"/>
        <w:docPartObj>
          <w:docPartGallery w:val="Page Numbers (Bottom of Page)"/>
          <w:docPartUnique/>
        </w:docPartObj>
      </w:sdtPr>
      <w:sdtContent>
        <w:sdt>
          <w:sdtPr>
            <w:rPr>
              <w:sz w:val="18"/>
              <w:szCs w:val="18"/>
            </w:rPr>
            <w:id w:val="501247795"/>
            <w:docPartObj>
              <w:docPartGallery w:val="Page Numbers (Bottom of Page)"/>
              <w:docPartUnique/>
            </w:docPartObj>
          </w:sdtPr>
          <w:sdtContent>
            <w:r>
              <w:rPr>
                <w:sz w:val="18"/>
                <w:szCs w:val="18"/>
              </w:rPr>
              <w:t>AIA</w:t>
            </w:r>
            <w:r>
              <w:rPr>
                <w:sz w:val="18"/>
                <w:szCs w:val="18"/>
              </w:rPr>
              <w:t xml:space="preserve">  2025 - LYON 5</w:t>
            </w:r>
            <w:r w:rsidRPr="008545EE">
              <w:rPr>
                <w:sz w:val="18"/>
                <w:szCs w:val="18"/>
                <w:vertAlign w:val="superscript"/>
              </w:rPr>
              <w:t>E</w:t>
            </w:r>
            <w:r>
              <w:rPr>
                <w:sz w:val="18"/>
                <w:szCs w:val="18"/>
              </w:rPr>
              <w:t xml:space="preserve"> OUEST    </w:t>
            </w:r>
            <w:r>
              <w:t xml:space="preserve"> </w:t>
            </w:r>
            <w:r>
              <w:rPr>
                <w:sz w:val="18"/>
                <w:szCs w:val="18"/>
              </w:rPr>
              <w:t xml:space="preserve">- </w:t>
            </w:r>
            <w:r>
              <w:rPr>
                <w:sz w:val="18"/>
                <w:szCs w:val="18"/>
              </w:rPr>
              <w:fldChar w:fldCharType="begin"/>
            </w:r>
            <w:r>
              <w:rPr>
                <w:sz w:val="18"/>
                <w:szCs w:val="18"/>
              </w:rPr>
              <w:instrText>PAGE   \* MERGEFORMAT</w:instrText>
            </w:r>
            <w:r>
              <w:rPr>
                <w:sz w:val="18"/>
                <w:szCs w:val="18"/>
              </w:rPr>
              <w:fldChar w:fldCharType="separate"/>
            </w:r>
            <w:r w:rsidR="00C6006B">
              <w:rPr>
                <w:noProof/>
                <w:sz w:val="18"/>
                <w:szCs w:val="18"/>
              </w:rPr>
              <w:t>4</w:t>
            </w:r>
            <w:r>
              <w:rPr>
                <w:sz w:val="18"/>
                <w:szCs w:val="18"/>
              </w:rPr>
              <w:fldChar w:fldCharType="end"/>
            </w:r>
          </w:sdtContent>
        </w:sdt>
      </w:sdtContent>
    </w:sdt>
    <w:r>
      <w:rPr>
        <w:sz w:val="18"/>
        <w:szCs w:val="18"/>
      </w:rPr>
      <w:t xml:space="preserve"> -</w:t>
    </w:r>
  </w:p>
  <w:p w:rsidR="00697F5B" w:rsidRDefault="00697F5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BC5" w:rsidRDefault="00C6006B">
      <w:pPr>
        <w:spacing w:after="0" w:line="240" w:lineRule="auto"/>
      </w:pPr>
      <w:r>
        <w:separator/>
      </w:r>
    </w:p>
  </w:footnote>
  <w:footnote w:type="continuationSeparator" w:id="0">
    <w:p w:rsidR="001C3BC5" w:rsidRDefault="00C600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E2C82"/>
    <w:multiLevelType w:val="multilevel"/>
    <w:tmpl w:val="5FC8FE22"/>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633052F"/>
    <w:multiLevelType w:val="multilevel"/>
    <w:tmpl w:val="3A925F52"/>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D25E5E"/>
    <w:multiLevelType w:val="multilevel"/>
    <w:tmpl w:val="F0AC795C"/>
    <w:lvl w:ilvl="0">
      <w:start w:val="1"/>
      <w:numFmt w:val="bullet"/>
      <w:lvlText w:val="•"/>
      <w:lvlJc w:val="left"/>
      <w:pPr>
        <w:tabs>
          <w:tab w:val="num" w:pos="720"/>
        </w:tabs>
        <w:ind w:left="720" w:hanging="360"/>
      </w:pPr>
      <w:rPr>
        <w:rFonts w:ascii="Arial" w:hAnsi="Arial" w:hint="default"/>
      </w:rPr>
    </w:lvl>
    <w:lvl w:ilvl="1">
      <w:start w:val="4"/>
      <w:numFmt w:val="bullet"/>
      <w:lvlText w:val="-"/>
      <w:lvlJc w:val="left"/>
      <w:pPr>
        <w:tabs>
          <w:tab w:val="num" w:pos="1440"/>
        </w:tabs>
        <w:ind w:left="1440" w:hanging="360"/>
      </w:pPr>
      <w:rPr>
        <w:rFonts w:ascii="Calibri" w:eastAsiaTheme="minorHAnsi" w:hAnsi="Calibri" w:cs="Calibri"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3" w15:restartNumberingAfterBreak="0">
    <w:nsid w:val="0EB97DF3"/>
    <w:multiLevelType w:val="multilevel"/>
    <w:tmpl w:val="58927564"/>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80234"/>
    <w:multiLevelType w:val="multilevel"/>
    <w:tmpl w:val="4E6A94DE"/>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B83419"/>
    <w:multiLevelType w:val="multilevel"/>
    <w:tmpl w:val="D7AEC87C"/>
    <w:lvl w:ilvl="0">
      <w:start w:val="1"/>
      <w:numFmt w:val="bullet"/>
      <w:lvlText w:val="-"/>
      <w:lvlJc w:val="left"/>
      <w:pPr>
        <w:ind w:left="720" w:hanging="360"/>
      </w:pPr>
      <w:rPr>
        <w:rFonts w:ascii="Courier New" w:hAnsi="Courier New"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F41DA1"/>
    <w:multiLevelType w:val="multilevel"/>
    <w:tmpl w:val="C9100B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035AEC"/>
    <w:multiLevelType w:val="multilevel"/>
    <w:tmpl w:val="C7CEDE92"/>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8" w15:restartNumberingAfterBreak="0">
    <w:nsid w:val="23D12FCF"/>
    <w:multiLevelType w:val="multilevel"/>
    <w:tmpl w:val="A68AAF76"/>
    <w:lvl w:ilvl="0">
      <w:start w:val="4"/>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D8F054D"/>
    <w:multiLevelType w:val="multilevel"/>
    <w:tmpl w:val="20D87632"/>
    <w:lvl w:ilvl="0">
      <w:start w:val="1"/>
      <w:numFmt w:val="bullet"/>
      <w:lvlText w:val="-"/>
      <w:lvlJc w:val="left"/>
      <w:pPr>
        <w:ind w:left="720" w:hanging="360"/>
      </w:pPr>
      <w:rPr>
        <w:rFonts w:ascii="Arial Narrow" w:hAnsi="Arial Narrow"/>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947789"/>
    <w:multiLevelType w:val="multilevel"/>
    <w:tmpl w:val="2A4E3A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B719D9"/>
    <w:multiLevelType w:val="multilevel"/>
    <w:tmpl w:val="8BDC15B6"/>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856A99"/>
    <w:multiLevelType w:val="multilevel"/>
    <w:tmpl w:val="9992F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83A97"/>
    <w:multiLevelType w:val="multilevel"/>
    <w:tmpl w:val="01D8F24E"/>
    <w:lvl w:ilvl="0">
      <w:start w:val="1"/>
      <w:numFmt w:val="bullet"/>
      <w:lvlText w:val="•"/>
      <w:lvlJc w:val="left"/>
      <w:pPr>
        <w:tabs>
          <w:tab w:val="num" w:pos="720"/>
        </w:tabs>
        <w:ind w:left="720" w:hanging="360"/>
      </w:pPr>
      <w:rPr>
        <w:rFonts w:ascii="Arial" w:hAnsi="Arial" w:hint="default"/>
      </w:rPr>
    </w:lvl>
    <w:lvl w:ilvl="1">
      <w:start w:val="4"/>
      <w:numFmt w:val="bullet"/>
      <w:lvlText w:val="-"/>
      <w:lvlJc w:val="left"/>
      <w:pPr>
        <w:tabs>
          <w:tab w:val="num" w:pos="1440"/>
        </w:tabs>
        <w:ind w:left="1440" w:hanging="360"/>
      </w:pPr>
      <w:rPr>
        <w:rFonts w:ascii="Calibri" w:eastAsiaTheme="minorHAnsi" w:hAnsi="Calibri" w:cs="Calibri"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14" w15:restartNumberingAfterBreak="0">
    <w:nsid w:val="5FEE7918"/>
    <w:multiLevelType w:val="multilevel"/>
    <w:tmpl w:val="D36C7E6E"/>
    <w:lvl w:ilvl="0">
      <w:start w:val="4"/>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6058523A"/>
    <w:multiLevelType w:val="multilevel"/>
    <w:tmpl w:val="665A1662"/>
    <w:lvl w:ilvl="0">
      <w:start w:val="4"/>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2603C72"/>
    <w:multiLevelType w:val="multilevel"/>
    <w:tmpl w:val="30881D20"/>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445087C"/>
    <w:multiLevelType w:val="multilevel"/>
    <w:tmpl w:val="6996FEBC"/>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8" w15:restartNumberingAfterBreak="0">
    <w:nsid w:val="65552EA7"/>
    <w:multiLevelType w:val="multilevel"/>
    <w:tmpl w:val="DBF60F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485AA5"/>
    <w:multiLevelType w:val="multilevel"/>
    <w:tmpl w:val="5D34268A"/>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20" w15:restartNumberingAfterBreak="0">
    <w:nsid w:val="7EEF7663"/>
    <w:multiLevelType w:val="multilevel"/>
    <w:tmpl w:val="1E982F34"/>
    <w:lvl w:ilvl="0">
      <w:start w:val="4"/>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6"/>
  </w:num>
  <w:num w:numId="4">
    <w:abstractNumId w:val="2"/>
  </w:num>
  <w:num w:numId="5">
    <w:abstractNumId w:val="13"/>
  </w:num>
  <w:num w:numId="6">
    <w:abstractNumId w:val="9"/>
  </w:num>
  <w:num w:numId="7">
    <w:abstractNumId w:val="6"/>
  </w:num>
  <w:num w:numId="8">
    <w:abstractNumId w:val="15"/>
  </w:num>
  <w:num w:numId="9">
    <w:abstractNumId w:val="10"/>
  </w:num>
  <w:num w:numId="10">
    <w:abstractNumId w:val="14"/>
  </w:num>
  <w:num w:numId="11">
    <w:abstractNumId w:val="8"/>
  </w:num>
  <w:num w:numId="12">
    <w:abstractNumId w:val="19"/>
  </w:num>
  <w:num w:numId="13">
    <w:abstractNumId w:val="12"/>
  </w:num>
  <w:num w:numId="14">
    <w:abstractNumId w:val="18"/>
  </w:num>
  <w:num w:numId="15">
    <w:abstractNumId w:val="5"/>
  </w:num>
  <w:num w:numId="16">
    <w:abstractNumId w:val="17"/>
  </w:num>
  <w:num w:numId="17">
    <w:abstractNumId w:val="7"/>
  </w:num>
  <w:num w:numId="18">
    <w:abstractNumId w:val="1"/>
  </w:num>
  <w:num w:numId="19">
    <w:abstractNumId w:val="4"/>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BC5"/>
    <w:rsid w:val="00057E2F"/>
    <w:rsid w:val="001C3BC5"/>
    <w:rsid w:val="00697F5B"/>
    <w:rsid w:val="00BA3671"/>
    <w:rsid w:val="00C6006B"/>
    <w:rsid w:val="00EA3AEC"/>
    <w:rsid w:val="00F71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9A925A-A099-4A91-B8FD-7DF8FF3F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color w:val="2E74B5" w:themeColor="accent1" w:themeShade="BF"/>
      <w:sz w:val="40"/>
      <w:szCs w:val="40"/>
    </w:rPr>
  </w:style>
  <w:style w:type="character" w:customStyle="1" w:styleId="Heading2Char">
    <w:name w:val="Heading 2 Char"/>
    <w:basedOn w:val="Policepardfaut"/>
    <w:uiPriority w:val="9"/>
    <w:rPr>
      <w:rFonts w:ascii="Arial" w:eastAsia="Arial" w:hAnsi="Arial" w:cs="Arial"/>
      <w:color w:val="2E74B5" w:themeColor="accent1" w:themeShade="BF"/>
      <w:sz w:val="32"/>
      <w:szCs w:val="32"/>
    </w:rPr>
  </w:style>
  <w:style w:type="character" w:customStyle="1" w:styleId="Heading3Char">
    <w:name w:val="Heading 3 Char"/>
    <w:basedOn w:val="Policepardfaut"/>
    <w:uiPriority w:val="9"/>
    <w:rPr>
      <w:rFonts w:ascii="Arial" w:eastAsia="Arial" w:hAnsi="Arial" w:cs="Arial"/>
      <w:color w:val="2E74B5" w:themeColor="accent1" w:themeShade="BF"/>
      <w:sz w:val="28"/>
      <w:szCs w:val="28"/>
    </w:rPr>
  </w:style>
  <w:style w:type="character" w:customStyle="1" w:styleId="Heading4Char">
    <w:name w:val="Heading 4 Char"/>
    <w:basedOn w:val="Policepardfaut"/>
    <w:uiPriority w:val="9"/>
    <w:rPr>
      <w:rFonts w:ascii="Arial" w:eastAsia="Arial" w:hAnsi="Arial" w:cs="Arial"/>
      <w:i/>
      <w:iCs/>
      <w:color w:val="2E74B5" w:themeColor="accent1" w:themeShade="BF"/>
    </w:rPr>
  </w:style>
  <w:style w:type="character" w:customStyle="1" w:styleId="Heading5Char">
    <w:name w:val="Heading 5 Char"/>
    <w:basedOn w:val="Policepardfaut"/>
    <w:uiPriority w:val="9"/>
    <w:rPr>
      <w:rFonts w:ascii="Arial" w:eastAsia="Arial" w:hAnsi="Arial" w:cs="Arial"/>
      <w:color w:val="2E74B5" w:themeColor="accent1" w:themeShade="BF"/>
    </w:rPr>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7Char">
    <w:name w:val="Heading 7 Char"/>
    <w:basedOn w:val="Policepardfaut"/>
    <w:uiPriority w:val="9"/>
    <w:rPr>
      <w:rFonts w:ascii="Arial" w:eastAsia="Arial" w:hAnsi="Arial" w:cs="Arial"/>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customStyle="1" w:styleId="IntenseQuoteChar">
    <w:name w:val="Intense Quote Char"/>
    <w:basedOn w:val="Policepardfaut"/>
    <w:uiPriority w:val="30"/>
    <w:rPr>
      <w:i/>
      <w:iCs/>
      <w:color w:val="2E74B5" w:themeColor="accent1" w:themeShade="BF"/>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FootnoteTextChar">
    <w:name w:val="Footnote Text Char"/>
    <w:basedOn w:val="Policepardfaut"/>
    <w:uiPriority w:val="99"/>
    <w:semiHidden/>
    <w:rPr>
      <w:sz w:val="20"/>
      <w:szCs w:val="20"/>
    </w:rPr>
  </w:style>
  <w:style w:type="character" w:customStyle="1" w:styleId="EndnoteTextChar">
    <w:name w:val="Endnote Text Char"/>
    <w:basedOn w:val="Policepardfaut"/>
    <w:uiPriority w:val="99"/>
    <w:semiHidden/>
    <w:rPr>
      <w:sz w:val="20"/>
      <w:szCs w:val="20"/>
    </w:rPr>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E74B5"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E74B5"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Emphase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paragraph" w:styleId="Sansinterligne">
    <w:name w:val="No Spacing"/>
    <w:basedOn w:val="Normal"/>
    <w:uiPriority w:val="1"/>
    <w:qFormat/>
    <w:pPr>
      <w:spacing w:after="0" w:line="240" w:lineRule="auto"/>
    </w:pPr>
  </w:style>
  <w:style w:type="character" w:styleId="Emphasepl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En-tte">
    <w:name w:val="header"/>
    <w:basedOn w:val="Normal"/>
    <w:link w:val="En-tteCar"/>
    <w:uiPriority w:val="99"/>
    <w:unhideWhenUsed/>
    <w:pPr>
      <w:tabs>
        <w:tab w:val="center" w:pos="4844"/>
        <w:tab w:val="right" w:pos="9689"/>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844"/>
        <w:tab w:val="right" w:pos="9689"/>
      </w:tabs>
      <w:spacing w:after="0" w:line="240" w:lineRule="auto"/>
    </w:pPr>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954F72" w:themeColor="followedHyperlink"/>
      <w:u w:val="single"/>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paragraph" w:styleId="TM3">
    <w:name w:val="toc 3"/>
    <w:basedOn w:val="Normal"/>
    <w:next w:val="Normal"/>
    <w:uiPriority w:val="39"/>
    <w:unhideWhenUsed/>
    <w:pPr>
      <w:spacing w:after="100"/>
      <w:ind w:left="440"/>
    </w:pPr>
  </w:style>
  <w:style w:type="paragraph" w:styleId="TM4">
    <w:name w:val="toc 4"/>
    <w:basedOn w:val="Normal"/>
    <w:next w:val="Normal"/>
    <w:uiPriority w:val="39"/>
    <w:unhideWhenUsed/>
    <w:pPr>
      <w:spacing w:after="100"/>
      <w:ind w:left="660"/>
    </w:pPr>
  </w:style>
  <w:style w:type="paragraph" w:styleId="TM5">
    <w:name w:val="toc 5"/>
    <w:basedOn w:val="Normal"/>
    <w:next w:val="Normal"/>
    <w:uiPriority w:val="39"/>
    <w:unhideWhenUsed/>
    <w:pPr>
      <w:spacing w:after="100"/>
      <w:ind w:left="880"/>
    </w:pPr>
  </w:style>
  <w:style w:type="paragraph" w:styleId="TM6">
    <w:name w:val="toc 6"/>
    <w:basedOn w:val="Normal"/>
    <w:next w:val="Normal"/>
    <w:uiPriority w:val="39"/>
    <w:unhideWhenUsed/>
    <w:pPr>
      <w:spacing w:after="100"/>
      <w:ind w:left="1100"/>
    </w:pPr>
  </w:style>
  <w:style w:type="paragraph" w:styleId="TM7">
    <w:name w:val="toc 7"/>
    <w:basedOn w:val="Normal"/>
    <w:next w:val="Normal"/>
    <w:uiPriority w:val="39"/>
    <w:unhideWhenUsed/>
    <w:pPr>
      <w:spacing w:after="100"/>
      <w:ind w:left="1320"/>
    </w:pPr>
  </w:style>
  <w:style w:type="paragraph" w:styleId="TM8">
    <w:name w:val="toc 8"/>
    <w:basedOn w:val="Normal"/>
    <w:next w:val="Normal"/>
    <w:uiPriority w:val="39"/>
    <w:unhideWhenUsed/>
    <w:pPr>
      <w:spacing w:after="100"/>
      <w:ind w:left="1540"/>
    </w:pPr>
  </w:style>
  <w:style w:type="paragraph" w:styleId="TM9">
    <w:name w:val="toc 9"/>
    <w:basedOn w:val="Normal"/>
    <w:next w:val="Normal"/>
    <w:uiPriority w:val="39"/>
    <w:unhideWhenUsed/>
    <w:pPr>
      <w:spacing w:after="100"/>
      <w:ind w:left="1760"/>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Pr>
      <w:color w:val="0563C1" w:themeColor="hyperlink"/>
      <w:u w:val="single"/>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customStyle="1" w:styleId="Default">
    <w:name w:val="Default"/>
    <w:pPr>
      <w:spacing w:after="0" w:line="240" w:lineRule="auto"/>
    </w:pPr>
    <w:rPr>
      <w:rFonts w:ascii="Arial" w:hAnsi="Arial" w:cs="Arial"/>
      <w:color w:val="000000"/>
      <w:sz w:val="24"/>
      <w:szCs w:val="24"/>
    </w:rPr>
  </w:style>
  <w:style w:type="paragraph" w:customStyle="1" w:styleId="NormalWeb1">
    <w:name w:val="Normal (Web)1"/>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F71ED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ssion.dsl@mairie-lyon.fr" TargetMode="External"/><Relationship Id="rId5" Type="http://schemas.openxmlformats.org/officeDocument/2006/relationships/webSettings" Target="webSettings.xml"/><Relationship Id="rId10" Type="http://schemas.openxmlformats.org/officeDocument/2006/relationships/image" Target="media/image10.jpg"/><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20F74-525D-4AD2-87CA-DF58A9CB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1230</Words>
  <Characters>6767</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Ville de Lyon</Company>
  <LinksUpToDate>false</LinksUpToDate>
  <CharactersWithSpaces>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BLANCHARD Hélène</dc:creator>
  <cp:keywords/>
  <dc:description/>
  <cp:lastModifiedBy>GENCO Hervé</cp:lastModifiedBy>
  <cp:revision>49</cp:revision>
  <dcterms:created xsi:type="dcterms:W3CDTF">2025-01-08T17:34:00Z</dcterms:created>
  <dcterms:modified xsi:type="dcterms:W3CDTF">2025-07-29T10:09:00Z</dcterms:modified>
</cp:coreProperties>
</file>